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Sobolevsky Konstantin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20.03.1977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Dnipro</w:t>
            </w:r>
          </w:p>
          <w:p>
            <w:r>
              <w:t xml:space="preserve">Permanent address: Dnepropetrovsk</w:t>
            </w:r>
          </w:p>
          <w:p>
            <w:r>
              <w:t xml:space="preserve">Contact Tel. No: +38 (050) 934-79-22</w:t>
            </w:r>
          </w:p>
          <w:p>
            <w:r>
              <w:t xml:space="preserve">E-Mail: teruio_kost@ukr.net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23.09.2013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28.10.2013-12.02.2014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ALGECIRAS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23.05.2013-24.09.2013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97511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ER-SCHIFFAHRT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29.11.2012-07.04.2013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ADRIATIC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67591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ER-SCHIFFAHRT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KT-SHipping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17.05.2012-23.09.2012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CSAV PUYEHUE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07.11.2011-07.03.2012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SPENCER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20.04.2011-28.08.2011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ACCURACY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22.10.2010-27.02.2011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SABLE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11.11.2009-22.06.2010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SPENCER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05.04.2009-03.09.2009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BRETT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03.05.2008-10.11.2008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BLUE WAVE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BIMS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27.07.2007-23.01.2008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FLENSBURG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Quadrant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German license valid till 24.09.14.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2017-12-04T12:00:28+03:00</dcterms:created>
  <dcterms:modified xsi:type="dcterms:W3CDTF">2017-12-04T12:00:28+03:00</dcterms:modified>
  <dc:title/>
  <dc:description/>
  <dc:subject/>
  <cp:keywords/>
  <cp:category/>
</cp:coreProperties>
</file>