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8" w:name="_Toc252634163"/>
      <w:r>
        <w:t>Volodymyr Zykov</w:t>
      </w:r>
      <w:bookmarkEnd w:id="8"/>
    </w:p>
    <w:tbl>
      <w:tr>
        <w:tc>
          <w:tcPr>
            <w:tcW w:w="8000" w:type="dxa"/>
          </w:tcPr>
          <w:p>
            <w:r>
              <w:t xml:space="preserve">Position applied for: Ordinary Seaman</w:t>
            </w:r>
          </w:p>
          <w:p>
            <w:r>
              <w:t xml:space="preserve">Date of birth: 04.10.1988 (age: 29)</w:t>
            </w:r>
          </w:p>
          <w:p>
            <w:r>
              <w:t xml:space="preserve">Citizenship: Ukraine</w:t>
            </w:r>
          </w:p>
          <w:p>
            <w:r>
              <w:t xml:space="preserve">Residence permit in Ukraine: No</w:t>
            </w:r>
          </w:p>
          <w:p>
            <w:r>
              <w:t xml:space="preserve">Country of residence: Ukraine</w:t>
            </w:r>
          </w:p>
          <w:p>
            <w:r>
              <w:t xml:space="preserve">City of residence: Simferopol</w:t>
            </w:r>
          </w:p>
          <w:p>
            <w:r>
              <w:t xml:space="preserve">Contact Tel. No: +38 (050) 807-49-54 / +38 (097) 548-61-35</w:t>
            </w:r>
          </w:p>
          <w:p>
            <w:r>
              <w:t xml:space="preserve">E-Mail: bred.www@mail.ru</w:t>
            </w:r>
          </w:p>
          <w:p>
            <w:r>
              <w:t xml:space="preserve">U.S. visa: No</w:t>
            </w:r>
          </w:p>
          <w:p>
            <w:r>
              <w:t xml:space="preserve">E.U. visa: No</w:t>
            </w:r>
          </w:p>
          <w:p>
            <w:r>
              <w:t xml:space="preserve">Ukrainian biometric international passport: Not specified</w:t>
            </w:r>
          </w:p>
          <w:p>
            <w:r>
              <w:t xml:space="preserve">Date available from: 16.10.2013</w:t>
            </w:r>
          </w:p>
          <w:p>
            <w:r>
              <w:t xml:space="preserve">English knowledge: Moderate</w:t>
            </w:r>
          </w:p>
          <w:p>
            <w:r>
              <w:t xml:space="preserve">Minimum salary: 800 $ per month</w:t>
            </w:r>
          </w:p>
        </w:tc>
      </w:tr>
    </w:tbl>
    <w:p/>
    <w:p>
      <w:pPr>
        <w:pStyle w:val="Heading2"/>
      </w:pPr>
      <w:r>
        <w:fldChar w:fldCharType="end"/>
      </w:r>
      <w:bookmarkStart w:id="9" w:name="_Toc252634164"/>
      <w:r>
        <w:t>Experience:</w:t>
      </w:r>
      <w:bookmarkEnd w:id="9"/>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Able Seaman</w:t>
            </w:r>
          </w:p>
        </w:tc>
        <w:tc>
          <w:tcPr>
            <w:tcW w:w="1000" w:type="dxa"/>
            <w:vAlign w:val="center"/>
          </w:tcPr>
          <w:p>
            <w:r>
              <w:rPr>
                <w:sz w:val="15"/>
                <w:szCs w:val="15"/>
              </w:rPr>
              <w:t xml:space="preserve">09.03.2013-13.08.2013</w:t>
            </w:r>
          </w:p>
        </w:tc>
        <w:tc>
          <w:tcPr>
            <w:tcW w:w="1000" w:type="dxa"/>
            <w:vAlign w:val="center"/>
          </w:tcPr>
          <w:p>
            <w:r>
              <w:rPr>
                <w:sz w:val="15"/>
                <w:szCs w:val="15"/>
              </w:rPr>
              <w:t xml:space="preserve">m/v Navaho</w:t>
            </w:r>
          </w:p>
        </w:tc>
        <w:tc>
          <w:tcPr>
            <w:tcW w:w="1000" w:type="dxa"/>
            <w:vAlign w:val="center"/>
          </w:tcPr>
          <w:p>
            <w:r>
              <w:rPr>
                <w:sz w:val="15"/>
                <w:szCs w:val="15"/>
              </w:rPr>
              <w:t xml:space="preserve">Dry Cargo</w:t>
            </w:r>
          </w:p>
        </w:tc>
        <w:tc>
          <w:tcPr>
            <w:tcW w:w="500" w:type="dxa"/>
            <w:vAlign w:val="center"/>
          </w:tcPr>
          <w:p>
            <w:r>
              <w:rPr>
                <w:sz w:val="15"/>
                <w:szCs w:val="15"/>
              </w:rPr>
              <w:t xml:space="preserve">5000</w:t>
            </w:r>
          </w:p>
        </w:tc>
        <w:tc>
          <w:tcPr>
            <w:tcW w:w="500" w:type="dxa"/>
            <w:vAlign w:val="center"/>
          </w:tcPr>
          <w:p>
            <w:r>
              <w:rPr>
                <w:sz w:val="15"/>
                <w:szCs w:val="15"/>
              </w:rPr>
              <w:t xml:space="preserve"/>
            </w:r>
          </w:p>
        </w:tc>
        <w:tc>
          <w:tcPr>
            <w:tcW w:w="500" w:type="dxa"/>
            <w:vAlign w:val="center"/>
          </w:tcPr>
          <w:p>
            <w:r>
              <w:rPr>
                <w:sz w:val="15"/>
                <w:szCs w:val="15"/>
              </w:rPr>
              <w:t xml:space="preserve">2x883</w:t>
            </w:r>
          </w:p>
        </w:tc>
        <w:tc>
          <w:tcPr>
            <w:tcW w:w="500" w:type="dxa"/>
            <w:vAlign w:val="center"/>
          </w:tcPr>
          <w:p>
            <w:r>
              <w:rPr>
                <w:sz w:val="15"/>
                <w:szCs w:val="15"/>
              </w:rPr>
              <w:t xml:space="preserve">Malta</w:t>
            </w:r>
          </w:p>
        </w:tc>
        <w:tc>
          <w:tcPr>
            <w:tcW w:w="1000" w:type="dxa"/>
            <w:vAlign w:val="center"/>
          </w:tcPr>
          <w:p>
            <w:r>
              <w:rPr>
                <w:sz w:val="15"/>
                <w:szCs w:val="15"/>
              </w:rPr>
              <w:t xml:space="preserve">Navaho Maritime ltd</w:t>
            </w:r>
          </w:p>
        </w:tc>
        <w:tc>
          <w:tcPr>
            <w:tcW w:w="700" w:type="dxa"/>
            <w:vAlign w:val="center"/>
          </w:tcPr>
          <w:p>
            <w:r>
              <w:rPr>
                <w:sz w:val="15"/>
                <w:szCs w:val="15"/>
              </w:rPr>
              <w:t xml:space="preserve">Polana</w:t>
            </w:r>
          </w:p>
        </w:tc>
      </w:tr>
    </w:tbl>
    <w:p/>
    <w:p>
      <w:pPr>
        <w:pStyle w:val="Heading2"/>
      </w:pPr>
      <w:r>
        <w:fldChar w:fldCharType="end"/>
      </w:r>
      <w:bookmarkStart w:id="10" w:name="_Toc252634165"/>
      <w:r>
        <w:t>Documents and further information:</w:t>
      </w:r>
      <w:bookmarkEnd w:id="10"/>
    </w:p>
    <w:p>
      <w:r>
        <w:t xml:space="preserve">Basic Safety Training STCW-95	2003 2011	November 15, 2011	Odessa Maritime Training Centre Sevastopol Branch	November 15, 2016. 
 Proficiency in Survival craft	1173 2012	August 29, 2012	Odessa Maritime Training Centre Sevastopol Branch	August 29, 2017.
Dangerous and Hazardous Substan.	0751	August 31, 2012	Odessa Maritime Training Centre Sevastopol Branch	August 31, 2017</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2017-12-04T12:07:41+03:00</dcterms:created>
  <dcterms:modified xsi:type="dcterms:W3CDTF">2017-12-04T12:07:41+03:00</dcterms:modified>
  <dc:title/>
  <dc:description/>
  <dc:subject/>
  <cp:keywords/>
  <cp:category/>
</cp:coreProperties>
</file>