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3" w:name="_Toc252634158"/>
      <w:r>
        <w:t>Samorodov Denys Nikolaevih</w:t>
      </w:r>
      <w:bookmarkEnd w:id="3"/>
    </w:p>
    <w:tbl>
      <w:tr>
        <w:tc>
          <w:tcPr>
            <w:tcW w:w="8000" w:type="dxa"/>
          </w:tcPr>
          <w:p>
            <w:r>
              <w:t xml:space="preserve">Position applied for: Able Seaman</w:t>
            </w:r>
          </w:p>
          <w:p>
            <w:r>
              <w:t xml:space="preserve">Date of birth: 11.01.1975 (age: 42)</w:t>
            </w:r>
          </w:p>
          <w:p>
            <w:r>
              <w:t xml:space="preserve">Citizenship: Ukraine</w:t>
            </w:r>
          </w:p>
          <w:p>
            <w:r>
              <w:t xml:space="preserve">Residence permit in Ukraine: No</w:t>
            </w:r>
          </w:p>
          <w:p>
            <w:r>
              <w:t xml:space="preserve">Country of residence: Ukraine</w:t>
            </w:r>
          </w:p>
          <w:p>
            <w:r>
              <w:t xml:space="preserve">City of residence: Odessa</w:t>
            </w:r>
          </w:p>
          <w:p>
            <w:r>
              <w:t xml:space="preserve">Permanent address: Nikolaevskay way 303/711</w:t>
            </w:r>
          </w:p>
          <w:p>
            <w:r>
              <w:t xml:space="preserve">Contact Tel. No: +38 (048) 711-22-63 / +38 (096) 864-48-40</w:t>
            </w:r>
          </w:p>
          <w:p>
            <w:r>
              <w:t xml:space="preserve">E-Mail: samorodov_75@mail.ru</w:t>
            </w:r>
          </w:p>
          <w:p>
            <w:r>
              <w:t xml:space="preserve">U.S. visa: No</w:t>
            </w:r>
          </w:p>
          <w:p>
            <w:r>
              <w:t xml:space="preserve">E.U. visa: No</w:t>
            </w:r>
          </w:p>
          <w:p>
            <w:r>
              <w:t xml:space="preserve">Ukrainian biometric international passport: Not specified</w:t>
            </w:r>
          </w:p>
          <w:p>
            <w:r>
              <w:t xml:space="preserve">Date available from: 10.01.2013</w:t>
            </w:r>
          </w:p>
          <w:p>
            <w:r>
              <w:t xml:space="preserve">English knowledge: Moderate</w:t>
            </w:r>
          </w:p>
          <w:p>
            <w:r>
              <w:t xml:space="preserve">Minimum salary: 1500 $ per month</w:t>
            </w:r>
          </w:p>
        </w:tc>
        <w:tc>
          <w:tcPr>
            <w:tcW w:w="8000" w:type="dxa"/>
          </w:tcPr>
          <w:p>
            <w:pPr>
              <w:jc w:val="right"/>
            </w:pPr>
            <w:r>
              <w:pict>
                <v:shape type="#_x0000_t75" style="width:200px;height:234px">
                  <v:imagedata r:id="rId7" o:title=""/>
                </v:shape>
              </w:pict>
            </w:r>
          </w:p>
        </w:tc>
      </w:tr>
    </w:tbl>
    <w:p/>
    <w:p>
      <w:pPr>
        <w:pStyle w:val="Heading2"/>
      </w:pPr>
      <w:r>
        <w:fldChar w:fldCharType="end"/>
      </w:r>
      <w:bookmarkStart w:id="4" w:name="_Toc252634159"/>
      <w:r>
        <w:t>Experience:</w:t>
      </w:r>
      <w:bookmarkEnd w:id="4"/>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Able Seaman</w:t>
            </w:r>
          </w:p>
        </w:tc>
        <w:tc>
          <w:tcPr>
            <w:tcW w:w="1000" w:type="dxa"/>
            <w:vAlign w:val="center"/>
          </w:tcPr>
          <w:p>
            <w:r>
              <w:rPr>
                <w:sz w:val="15"/>
                <w:szCs w:val="15"/>
              </w:rPr>
              <w:t xml:space="preserve">07.07.2007-12.12.2007</w:t>
            </w:r>
          </w:p>
        </w:tc>
        <w:tc>
          <w:tcPr>
            <w:tcW w:w="1000" w:type="dxa"/>
            <w:vAlign w:val="center"/>
          </w:tcPr>
          <w:p>
            <w:r>
              <w:rPr>
                <w:sz w:val="15"/>
                <w:szCs w:val="15"/>
              </w:rPr>
              <w:t xml:space="preserve">Lidiy 1</w:t>
            </w:r>
          </w:p>
        </w:tc>
        <w:tc>
          <w:tcPr>
            <w:tcW w:w="1000" w:type="dxa"/>
            <w:vAlign w:val="center"/>
          </w:tcPr>
          <w:p>
            <w:r>
              <w:rPr>
                <w:sz w:val="15"/>
                <w:szCs w:val="15"/>
              </w:rPr>
              <w:t xml:space="preserve">Dry Cargo</w:t>
            </w:r>
          </w:p>
        </w:tc>
        <w:tc>
          <w:tcPr>
            <w:tcW w:w="500" w:type="dxa"/>
            <w:vAlign w:val="center"/>
          </w:tcPr>
          <w:p>
            <w:r>
              <w:rPr>
                <w:sz w:val="15"/>
                <w:szCs w:val="15"/>
              </w:rPr>
              <w:t xml:space="preserve">17000</w:t>
            </w:r>
          </w:p>
        </w:tc>
        <w:tc>
          <w:tcPr>
            <w:tcW w:w="500" w:type="dxa"/>
            <w:vAlign w:val="center"/>
          </w:tcPr>
          <w:p>
            <w:r>
              <w:rPr>
                <w:sz w:val="15"/>
                <w:szCs w:val="15"/>
              </w:rPr>
              <w:t xml:space="preserve">No</w:t>
            </w:r>
          </w:p>
        </w:tc>
        <w:tc>
          <w:tcPr>
            <w:tcW w:w="500" w:type="dxa"/>
            <w:vAlign w:val="center"/>
          </w:tcPr>
          <w:p>
            <w:r>
              <w:rPr>
                <w:sz w:val="15"/>
                <w:szCs w:val="15"/>
              </w:rPr>
              <w:t xml:space="preserve">No</w:t>
            </w:r>
          </w:p>
        </w:tc>
        <w:tc>
          <w:tcPr>
            <w:tcW w:w="500" w:type="dxa"/>
            <w:vAlign w:val="center"/>
          </w:tcPr>
          <w:p>
            <w:r>
              <w:rPr>
                <w:sz w:val="15"/>
                <w:szCs w:val="15"/>
              </w:rPr>
              <w:t xml:space="preserve">Panama</w:t>
            </w:r>
          </w:p>
        </w:tc>
        <w:tc>
          <w:tcPr>
            <w:tcW w:w="1000" w:type="dxa"/>
            <w:vAlign w:val="center"/>
          </w:tcPr>
          <w:p>
            <w:r>
              <w:rPr>
                <w:sz w:val="15"/>
                <w:szCs w:val="15"/>
              </w:rPr>
              <w:t xml:space="preserve">Karia schiping</w:t>
            </w:r>
          </w:p>
        </w:tc>
        <w:tc>
          <w:tcPr>
            <w:tcW w:w="700" w:type="dxa"/>
            <w:vAlign w:val="center"/>
          </w:tcPr>
          <w:p>
            <w:r>
              <w:rPr>
                <w:sz w:val="15"/>
                <w:szCs w:val="15"/>
              </w:rPr>
              <w:t xml:space="preserve">Acvarius</w:t>
            </w:r>
          </w:p>
        </w:tc>
      </w:tr>
      <w:tr>
        <w:tc>
          <w:tcPr>
            <w:tcW w:w="1000" w:type="dxa"/>
            <w:vAlign w:val="center"/>
          </w:tcPr>
          <w:p>
            <w:r>
              <w:rPr>
                <w:sz w:val="15"/>
                <w:szCs w:val="15"/>
              </w:rPr>
              <w:t xml:space="preserve">Able Seaman</w:t>
            </w:r>
          </w:p>
        </w:tc>
        <w:tc>
          <w:tcPr>
            <w:tcW w:w="1000" w:type="dxa"/>
            <w:vAlign w:val="center"/>
          </w:tcPr>
          <w:p>
            <w:r>
              <w:rPr>
                <w:sz w:val="15"/>
                <w:szCs w:val="15"/>
              </w:rPr>
              <w:t xml:space="preserve">10.12.2006-05.09.2007</w:t>
            </w:r>
          </w:p>
        </w:tc>
        <w:tc>
          <w:tcPr>
            <w:tcW w:w="1000" w:type="dxa"/>
            <w:vAlign w:val="center"/>
          </w:tcPr>
          <w:p>
            <w:r>
              <w:rPr>
                <w:sz w:val="15"/>
                <w:szCs w:val="15"/>
              </w:rPr>
              <w:t xml:space="preserve">Hersones</w:t>
            </w:r>
          </w:p>
        </w:tc>
        <w:tc>
          <w:tcPr>
            <w:tcW w:w="1000" w:type="dxa"/>
            <w:vAlign w:val="center"/>
          </w:tcPr>
          <w:p>
            <w:r>
              <w:rPr>
                <w:sz w:val="15"/>
                <w:szCs w:val="15"/>
              </w:rPr>
              <w:t xml:space="preserve">Refrigerator</w:t>
            </w:r>
          </w:p>
        </w:tc>
        <w:tc>
          <w:tcPr>
            <w:tcW w:w="500" w:type="dxa"/>
            <w:vAlign w:val="center"/>
          </w:tcPr>
          <w:p>
            <w:r>
              <w:rPr>
                <w:sz w:val="15"/>
                <w:szCs w:val="15"/>
              </w:rPr>
              <w:t xml:space="preserve">10000</w:t>
            </w:r>
          </w:p>
        </w:tc>
        <w:tc>
          <w:tcPr>
            <w:tcW w:w="500" w:type="dxa"/>
            <w:vAlign w:val="center"/>
          </w:tcPr>
          <w:p>
            <w:r>
              <w:rPr>
                <w:sz w:val="15"/>
                <w:szCs w:val="15"/>
              </w:rPr>
              <w:t xml:space="preserve">No</w:t>
            </w:r>
          </w:p>
        </w:tc>
        <w:tc>
          <w:tcPr>
            <w:tcW w:w="500" w:type="dxa"/>
            <w:vAlign w:val="center"/>
          </w:tcPr>
          <w:p>
            <w:r>
              <w:rPr>
                <w:sz w:val="15"/>
                <w:szCs w:val="15"/>
              </w:rPr>
              <w:t xml:space="preserve">No</w:t>
            </w:r>
          </w:p>
        </w:tc>
        <w:tc>
          <w:tcPr>
            <w:tcW w:w="500" w:type="dxa"/>
            <w:vAlign w:val="center"/>
          </w:tcPr>
          <w:p>
            <w:r>
              <w:rPr>
                <w:sz w:val="15"/>
                <w:szCs w:val="15"/>
              </w:rPr>
              <w:t xml:space="preserve">Ukraine</w:t>
            </w:r>
          </w:p>
        </w:tc>
        <w:tc>
          <w:tcPr>
            <w:tcW w:w="1000" w:type="dxa"/>
            <w:vAlign w:val="center"/>
          </w:tcPr>
          <w:p>
            <w:r>
              <w:rPr>
                <w:sz w:val="15"/>
                <w:szCs w:val="15"/>
              </w:rPr>
              <w:t xml:space="preserve">Acvamarin</w:t>
            </w:r>
          </w:p>
        </w:tc>
        <w:tc>
          <w:tcPr>
            <w:tcW w:w="700" w:type="dxa"/>
            <w:vAlign w:val="center"/>
          </w:tcPr>
          <w:p>
            <w:r>
              <w:rPr>
                <w:sz w:val="15"/>
                <w:szCs w:val="15"/>
              </w:rPr>
              <w:t xml:space="preserve">Atlantica</w:t>
            </w:r>
          </w:p>
        </w:tc>
      </w:tr>
      <w:tr>
        <w:tc>
          <w:tcPr>
            <w:tcW w:w="1000" w:type="dxa"/>
            <w:vAlign w:val="center"/>
          </w:tcPr>
          <w:p>
            <w:r>
              <w:rPr>
                <w:sz w:val="15"/>
                <w:szCs w:val="15"/>
              </w:rPr>
              <w:t xml:space="preserve">Able Seaman</w:t>
            </w:r>
          </w:p>
        </w:tc>
        <w:tc>
          <w:tcPr>
            <w:tcW w:w="1000" w:type="dxa"/>
            <w:vAlign w:val="center"/>
          </w:tcPr>
          <w:p>
            <w:r>
              <w:rPr>
                <w:sz w:val="15"/>
                <w:szCs w:val="15"/>
              </w:rPr>
              <w:t xml:space="preserve">02.03.2003-07.04.2003</w:t>
            </w:r>
          </w:p>
        </w:tc>
        <w:tc>
          <w:tcPr>
            <w:tcW w:w="1000" w:type="dxa"/>
            <w:vAlign w:val="center"/>
          </w:tcPr>
          <w:p>
            <w:r>
              <w:rPr>
                <w:sz w:val="15"/>
                <w:szCs w:val="15"/>
              </w:rPr>
              <w:t xml:space="preserve">Kodyma</w:t>
            </w:r>
          </w:p>
        </w:tc>
        <w:tc>
          <w:tcPr>
            <w:tcW w:w="1000" w:type="dxa"/>
            <w:vAlign w:val="center"/>
          </w:tcPr>
          <w:p>
            <w:r>
              <w:rPr>
                <w:sz w:val="15"/>
                <w:szCs w:val="15"/>
              </w:rPr>
              <w:t xml:space="preserve">Refrigerator</w:t>
            </w:r>
          </w:p>
        </w:tc>
        <w:tc>
          <w:tcPr>
            <w:tcW w:w="500" w:type="dxa"/>
            <w:vAlign w:val="center"/>
          </w:tcPr>
          <w:p>
            <w:r>
              <w:rPr>
                <w:sz w:val="15"/>
                <w:szCs w:val="15"/>
              </w:rPr>
              <w:t xml:space="preserve">5000</w:t>
            </w:r>
          </w:p>
        </w:tc>
        <w:tc>
          <w:tcPr>
            <w:tcW w:w="500" w:type="dxa"/>
            <w:vAlign w:val="center"/>
          </w:tcPr>
          <w:p>
            <w:r>
              <w:rPr>
                <w:sz w:val="15"/>
                <w:szCs w:val="15"/>
              </w:rPr>
              <w:t xml:space="preserve">No</w:t>
            </w:r>
          </w:p>
        </w:tc>
        <w:tc>
          <w:tcPr>
            <w:tcW w:w="500" w:type="dxa"/>
            <w:vAlign w:val="center"/>
          </w:tcPr>
          <w:p>
            <w:r>
              <w:rPr>
                <w:sz w:val="15"/>
                <w:szCs w:val="15"/>
              </w:rPr>
              <w:t xml:space="preserve">No</w:t>
            </w:r>
          </w:p>
        </w:tc>
        <w:tc>
          <w:tcPr>
            <w:tcW w:w="500" w:type="dxa"/>
            <w:vAlign w:val="center"/>
          </w:tcPr>
          <w:p>
            <w:r>
              <w:rPr>
                <w:sz w:val="15"/>
                <w:szCs w:val="15"/>
              </w:rPr>
              <w:t xml:space="preserve">Ukraine</w:t>
            </w:r>
          </w:p>
        </w:tc>
        <w:tc>
          <w:tcPr>
            <w:tcW w:w="1000" w:type="dxa"/>
            <w:vAlign w:val="center"/>
          </w:tcPr>
          <w:p>
            <w:r>
              <w:rPr>
                <w:sz w:val="15"/>
                <w:szCs w:val="15"/>
              </w:rPr>
              <w:t xml:space="preserve">SSV</w:t>
            </w:r>
          </w:p>
        </w:tc>
        <w:tc>
          <w:tcPr>
            <w:tcW w:w="700" w:type="dxa"/>
            <w:vAlign w:val="center"/>
          </w:tcPr>
          <w:p>
            <w:r>
              <w:rPr>
                <w:sz w:val="15"/>
                <w:szCs w:val="15"/>
              </w:rPr>
              <w:t xml:space="preserve">Linart</w:t>
            </w:r>
          </w:p>
        </w:tc>
      </w:tr>
      <w:tr>
        <w:tc>
          <w:tcPr>
            <w:tcW w:w="1000" w:type="dxa"/>
            <w:vAlign w:val="center"/>
          </w:tcPr>
          <w:p>
            <w:r>
              <w:rPr>
                <w:sz w:val="15"/>
                <w:szCs w:val="15"/>
              </w:rPr>
              <w:t xml:space="preserve">Able Seaman</w:t>
            </w:r>
          </w:p>
        </w:tc>
        <w:tc>
          <w:tcPr>
            <w:tcW w:w="1000" w:type="dxa"/>
            <w:vAlign w:val="center"/>
          </w:tcPr>
          <w:p>
            <w:r>
              <w:rPr>
                <w:sz w:val="15"/>
                <w:szCs w:val="15"/>
              </w:rPr>
              <w:t xml:space="preserve">00.00.0000-00.00.0000</w:t>
            </w:r>
          </w:p>
        </w:tc>
        <w:tc>
          <w:tcPr>
            <w:tcW w:w="1000" w:type="dxa"/>
            <w:vAlign w:val="center"/>
          </w:tcPr>
          <w:p>
            <w:r>
              <w:rPr>
                <w:sz w:val="15"/>
                <w:szCs w:val="15"/>
              </w:rPr>
              <w:t xml:space="preserve">Cool Express</w:t>
            </w:r>
          </w:p>
        </w:tc>
        <w:tc>
          <w:tcPr>
            <w:tcW w:w="1000" w:type="dxa"/>
            <w:vAlign w:val="center"/>
          </w:tcPr>
          <w:p>
            <w:r>
              <w:rPr>
                <w:sz w:val="15"/>
                <w:szCs w:val="15"/>
              </w:rPr>
              <w:t xml:space="preserve">Refrigerator</w:t>
            </w:r>
          </w:p>
        </w:tc>
        <w:tc>
          <w:tcPr>
            <w:tcW w:w="500" w:type="dxa"/>
            <w:vAlign w:val="center"/>
          </w:tcPr>
          <w:p>
            <w:r>
              <w:rPr>
                <w:sz w:val="15"/>
                <w:szCs w:val="15"/>
              </w:rPr>
              <w:t xml:space="preserve">5000</w:t>
            </w:r>
          </w:p>
        </w:tc>
        <w:tc>
          <w:tcPr>
            <w:tcW w:w="500" w:type="dxa"/>
            <w:vAlign w:val="center"/>
          </w:tcPr>
          <w:p>
            <w:r>
              <w:rPr>
                <w:sz w:val="15"/>
                <w:szCs w:val="15"/>
              </w:rPr>
              <w:t xml:space="preserve">No</w:t>
            </w:r>
          </w:p>
        </w:tc>
        <w:tc>
          <w:tcPr>
            <w:tcW w:w="500" w:type="dxa"/>
            <w:vAlign w:val="center"/>
          </w:tcPr>
          <w:p>
            <w:r>
              <w:rPr>
                <w:sz w:val="15"/>
                <w:szCs w:val="15"/>
              </w:rPr>
              <w:t xml:space="preserve">No</w:t>
            </w:r>
          </w:p>
        </w:tc>
        <w:tc>
          <w:tcPr>
            <w:tcW w:w="500" w:type="dxa"/>
            <w:vAlign w:val="center"/>
          </w:tcPr>
          <w:p>
            <w:r>
              <w:rPr>
                <w:sz w:val="15"/>
                <w:szCs w:val="15"/>
              </w:rPr>
              <w:t xml:space="preserve">Vanuatu</w:t>
            </w:r>
          </w:p>
        </w:tc>
        <w:tc>
          <w:tcPr>
            <w:tcW w:w="1000" w:type="dxa"/>
            <w:vAlign w:val="center"/>
          </w:tcPr>
          <w:p>
            <w:r>
              <w:rPr>
                <w:sz w:val="15"/>
                <w:szCs w:val="15"/>
              </w:rPr>
              <w:t xml:space="preserve">Narima Overseas</w:t>
            </w:r>
          </w:p>
        </w:tc>
        <w:tc>
          <w:tcPr>
            <w:tcW w:w="700" w:type="dxa"/>
            <w:vAlign w:val="center"/>
          </w:tcPr>
          <w:p>
            <w:r>
              <w:rPr>
                <w:sz w:val="15"/>
                <w:szCs w:val="15"/>
              </w:rPr>
              <w:t xml:space="preserve">Anninet-v</w:t>
            </w:r>
          </w:p>
        </w:tc>
      </w:tr>
    </w:tbl>
    <w:p/>
    <w:p>
      <w:pPr>
        <w:pStyle w:val="Heading2"/>
      </w:pPr>
      <w:r>
        <w:fldChar w:fldCharType="end"/>
      </w:r>
      <w:bookmarkStart w:id="5" w:name="_Toc252634160"/>
      <w:r>
        <w:t>Documents and further information:</w:t>
      </w:r>
      <w:bookmarkEnd w:id="5"/>
    </w:p>
    <w:p>
      <w:r>
        <w:t xml:space="preserve">Travel Pass EX328319   03.08.2013 Odessa 03.08.2023                                                    Semans Book AB408852   16.02.2009 Iliyichevsk 10.10.2018                                                 Qualified seaman certificate 01616 2006 03   15.12.2006  Iliyichevsk                                Endorsement   01616 2006 03   01.10.2013   Iliyichevsk                                                   Basic Safety Training and instruction 2430   08.08.2013  Iliyichevsk  08.08.2018         Proficiency in survival craft 2139   08.08.2013   Iliyichevsk  08.08.2018                   Hazardous Cargoes 1897   08.08.2013   Iliyichevsk  08.08.2018                          Designated security duties of shipbort personnel   06.11.2013  Iliyichevsk  06.11.2018      Yellow Fever Vaccination   01.05.2005 Sevastopol  01.05.2015</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2017-12-04T12:06:17+03:00</dcterms:created>
  <dcterms:modified xsi:type="dcterms:W3CDTF">2017-12-04T12:06:17+03:00</dcterms:modified>
  <dc:title/>
  <dc:description/>
  <dc:subject/>
  <cp:keywords/>
  <cp:category/>
</cp:coreProperties>
</file>