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2" w:name="_Toc252634157"/>
      <w:r>
        <w:t>Dymchenko Anatoliy Anatoliyovich</w:t>
      </w:r>
      <w:bookmarkEnd w:id="2"/>
    </w:p>
    <w:tbl>
      <w:tr>
        <w:tc>
          <w:tcPr>
            <w:tcW w:w="8000" w:type="dxa"/>
          </w:tcPr>
          <w:p>
            <w:r>
              <w:t xml:space="preserve">Position applied for: 2nd Officer</w:t>
            </w:r>
          </w:p>
          <w:p>
            <w:r>
              <w:t xml:space="preserve">Date of birth: 14.12.1991 (age: 25)</w:t>
            </w:r>
          </w:p>
          <w:p>
            <w:r>
              <w:t xml:space="preserve">Citizenship: Ukraine</w:t>
            </w:r>
          </w:p>
          <w:p>
            <w:r>
              <w:t xml:space="preserve">Residence permit in Ukraine: Yes</w:t>
            </w:r>
          </w:p>
          <w:p>
            <w:r>
              <w:t xml:space="preserve">Country of residence: Ukraine</w:t>
            </w:r>
          </w:p>
          <w:p>
            <w:r>
              <w:t xml:space="preserve">City of residence: Kherson</w:t>
            </w:r>
          </w:p>
          <w:p>
            <w:r>
              <w:t xml:space="preserve">Permanent address: Orositelniy 8</w:t>
            </w:r>
          </w:p>
          <w:p>
            <w:r>
              <w:t xml:space="preserve">Contact Tel. No: +38 (050) 698-08-68 / +38 (096) 671-80-08</w:t>
            </w:r>
          </w:p>
          <w:p>
            <w:r>
              <w:t xml:space="preserve">E-Mail: AltarBang777tj@gmail.com</w:t>
            </w:r>
          </w:p>
          <w:p>
            <w:r>
              <w:t xml:space="preserve">Skype: Dymchenkkko</w:t>
            </w:r>
          </w:p>
          <w:p>
            <w:r>
              <w:t xml:space="preserve">U.S. visa: No</w:t>
            </w:r>
          </w:p>
          <w:p>
            <w:r>
              <w:t xml:space="preserve">E.U. visa: No</w:t>
            </w:r>
          </w:p>
          <w:p>
            <w:r>
              <w:t xml:space="preserve">Ukrainian biometric international passport: Not specified</w:t>
            </w:r>
          </w:p>
          <w:p>
            <w:r>
              <w:t xml:space="preserve">Date available from: 28.01.2017</w:t>
            </w:r>
          </w:p>
          <w:p>
            <w:r>
              <w:t xml:space="preserve">English knowledge: Good</w:t>
            </w:r>
          </w:p>
          <w:p>
            <w:r>
              <w:t xml:space="preserve">Minimum salary: 1000 $ per month</w:t>
            </w:r>
          </w:p>
        </w:tc>
      </w:tr>
    </w:tbl>
    <w:p/>
    <w:p>
      <w:pPr>
        <w:pStyle w:val="Heading2"/>
      </w:pPr>
      <w:r>
        <w:fldChar w:fldCharType="end"/>
      </w:r>
      <w:bookmarkStart w:id="3" w:name="_Toc252634158"/>
      <w:r>
        <w:t>Experience:</w:t>
      </w:r>
      <w:bookmarkEnd w:id="3"/>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2nd Officer</w:t>
            </w:r>
          </w:p>
        </w:tc>
        <w:tc>
          <w:tcPr>
            <w:tcW w:w="1000" w:type="dxa"/>
            <w:vAlign w:val="center"/>
          </w:tcPr>
          <w:p>
            <w:r>
              <w:rPr>
                <w:sz w:val="15"/>
                <w:szCs w:val="15"/>
              </w:rPr>
              <w:t xml:space="preserve">02.03.2016-06.08.2016</w:t>
            </w:r>
          </w:p>
        </w:tc>
        <w:tc>
          <w:tcPr>
            <w:tcW w:w="1000" w:type="dxa"/>
            <w:vAlign w:val="center"/>
          </w:tcPr>
          <w:p>
            <w:r>
              <w:rPr>
                <w:sz w:val="15"/>
                <w:szCs w:val="15"/>
              </w:rPr>
              <w:t xml:space="preserve">Slavutich 16</w:t>
            </w:r>
          </w:p>
        </w:tc>
        <w:tc>
          <w:tcPr>
            <w:tcW w:w="1000" w:type="dxa"/>
            <w:vAlign w:val="center"/>
          </w:tcPr>
          <w:p>
            <w:r>
              <w:rPr>
                <w:sz w:val="15"/>
                <w:szCs w:val="15"/>
              </w:rPr>
              <w:t xml:space="preserve">Dry Cargo</w:t>
            </w:r>
          </w:p>
        </w:tc>
        <w:tc>
          <w:tcPr>
            <w:tcW w:w="500" w:type="dxa"/>
            <w:vAlign w:val="center"/>
          </w:tcPr>
          <w:p>
            <w:r>
              <w:rPr>
                <w:sz w:val="15"/>
                <w:szCs w:val="15"/>
              </w:rPr>
              <w:t xml:space="preserve">3226</w:t>
            </w:r>
          </w:p>
        </w:tc>
        <w:tc>
          <w:tcPr>
            <w:tcW w:w="500" w:type="dxa"/>
            <w:vAlign w:val="center"/>
          </w:tcPr>
          <w:p>
            <w:r>
              <w:rPr>
                <w:sz w:val="15"/>
                <w:szCs w:val="15"/>
              </w:rPr>
              <w:t xml:space="preserve">1760</w:t>
            </w:r>
          </w:p>
        </w:tc>
        <w:tc>
          <w:tcPr>
            <w:tcW w:w="500" w:type="dxa"/>
            <w:vAlign w:val="center"/>
          </w:tcPr>
          <w:p>
            <w:r>
              <w:rPr>
                <w:sz w:val="15"/>
                <w:szCs w:val="15"/>
              </w:rPr>
              <w:t xml:space="preserve">-</w:t>
            </w:r>
          </w:p>
        </w:tc>
        <w:tc>
          <w:tcPr>
            <w:tcW w:w="500" w:type="dxa"/>
            <w:vAlign w:val="center"/>
          </w:tcPr>
          <w:p>
            <w:r>
              <w:rPr>
                <w:sz w:val="15"/>
                <w:szCs w:val="15"/>
              </w:rPr>
              <w:t xml:space="preserve">Ukraine</w:t>
            </w:r>
          </w:p>
        </w:tc>
        <w:tc>
          <w:tcPr>
            <w:tcW w:w="1000" w:type="dxa"/>
            <w:vAlign w:val="center"/>
          </w:tcPr>
          <w:p>
            <w:r>
              <w:rPr>
                <w:sz w:val="15"/>
                <w:szCs w:val="15"/>
              </w:rPr>
              <w:t xml:space="preserve">Delta shipping</w:t>
            </w:r>
          </w:p>
        </w:tc>
        <w:tc>
          <w:tcPr>
            <w:tcW w:w="700" w:type="dxa"/>
            <w:vAlign w:val="center"/>
          </w:tcPr>
          <w:p>
            <w:r>
              <w:rPr>
                <w:sz w:val="15"/>
                <w:szCs w:val="15"/>
              </w:rPr>
              <w:t xml:space="preserve">Donbass marine</w:t>
            </w:r>
          </w:p>
        </w:tc>
      </w:tr>
      <w:tr>
        <w:tc>
          <w:tcPr>
            <w:tcW w:w="1000" w:type="dxa"/>
            <w:vAlign w:val="center"/>
          </w:tcPr>
          <w:p>
            <w:r>
              <w:rPr>
                <w:sz w:val="15"/>
                <w:szCs w:val="15"/>
              </w:rPr>
              <w:t xml:space="preserve">Deck Cadet</w:t>
            </w:r>
          </w:p>
        </w:tc>
        <w:tc>
          <w:tcPr>
            <w:tcW w:w="1000" w:type="dxa"/>
            <w:vAlign w:val="center"/>
          </w:tcPr>
          <w:p>
            <w:r>
              <w:rPr>
                <w:sz w:val="15"/>
                <w:szCs w:val="15"/>
              </w:rPr>
              <w:t xml:space="preserve">24.09.2012-11.01.2013</w:t>
            </w:r>
          </w:p>
        </w:tc>
        <w:tc>
          <w:tcPr>
            <w:tcW w:w="1000" w:type="dxa"/>
            <w:vAlign w:val="center"/>
          </w:tcPr>
          <w:p>
            <w:r>
              <w:rPr>
                <w:sz w:val="15"/>
                <w:szCs w:val="15"/>
              </w:rPr>
              <w:t xml:space="preserve">OM-106</w:t>
            </w:r>
          </w:p>
        </w:tc>
        <w:tc>
          <w:tcPr>
            <w:tcW w:w="1000" w:type="dxa"/>
            <w:vAlign w:val="center"/>
          </w:tcPr>
          <w:p>
            <w:r>
              <w:rPr>
                <w:sz w:val="15"/>
                <w:szCs w:val="15"/>
              </w:rPr>
              <w:t xml:space="preserve">Passenger Ship</w:t>
            </w:r>
          </w:p>
        </w:tc>
        <w:tc>
          <w:tcPr>
            <w:tcW w:w="500" w:type="dxa"/>
            <w:vAlign w:val="center"/>
          </w:tcPr>
          <w:p>
            <w:r>
              <w:rPr>
                <w:sz w:val="15"/>
                <w:szCs w:val="15"/>
              </w:rPr>
              <w:t xml:space="preserve">152</w:t>
            </w:r>
          </w:p>
        </w:tc>
        <w:tc>
          <w:tcPr>
            <w:tcW w:w="500" w:type="dxa"/>
            <w:vAlign w:val="center"/>
          </w:tcPr>
          <w:p>
            <w:r>
              <w:rPr>
                <w:sz w:val="15"/>
                <w:szCs w:val="15"/>
              </w:rPr>
              <w:t xml:space="preserve">440</w:t>
            </w:r>
          </w:p>
        </w:tc>
        <w:tc>
          <w:tcPr>
            <w:tcW w:w="500" w:type="dxa"/>
            <w:vAlign w:val="center"/>
          </w:tcPr>
          <w:p>
            <w:r>
              <w:rPr>
                <w:sz w:val="15"/>
                <w:szCs w:val="15"/>
              </w:rPr>
              <w:t xml:space="preserve">-</w:t>
            </w:r>
          </w:p>
        </w:tc>
        <w:tc>
          <w:tcPr>
            <w:tcW w:w="500" w:type="dxa"/>
            <w:vAlign w:val="center"/>
          </w:tcPr>
          <w:p>
            <w:r>
              <w:rPr>
                <w:sz w:val="15"/>
                <w:szCs w:val="15"/>
              </w:rPr>
              <w:t xml:space="preserve">Ukr</w:t>
            </w:r>
          </w:p>
        </w:tc>
        <w:tc>
          <w:tcPr>
            <w:tcW w:w="1000" w:type="dxa"/>
            <w:vAlign w:val="center"/>
          </w:tcPr>
          <w:p>
            <w:r>
              <w:rPr>
                <w:sz w:val="15"/>
                <w:szCs w:val="15"/>
              </w:rPr>
              <w:t xml:space="preserve">KSMA</w:t>
            </w:r>
          </w:p>
        </w:tc>
        <w:tc>
          <w:tcPr>
            <w:tcW w:w="700" w:type="dxa"/>
            <w:vAlign w:val="center"/>
          </w:tcPr>
          <w:p>
            <w:r>
              <w:rPr>
                <w:sz w:val="15"/>
                <w:szCs w:val="15"/>
              </w:rPr>
              <w:t xml:space="preserve">&amp;mdash;</w:t>
            </w:r>
          </w:p>
        </w:tc>
      </w:tr>
      <w:tr>
        <w:tc>
          <w:tcPr>
            <w:tcW w:w="1000" w:type="dxa"/>
            <w:vAlign w:val="center"/>
          </w:tcPr>
          <w:p>
            <w:r>
              <w:rPr>
                <w:sz w:val="15"/>
                <w:szCs w:val="15"/>
              </w:rPr>
              <w:t xml:space="preserve">Deck Cadet</w:t>
            </w:r>
          </w:p>
        </w:tc>
        <w:tc>
          <w:tcPr>
            <w:tcW w:w="1000" w:type="dxa"/>
            <w:vAlign w:val="center"/>
          </w:tcPr>
          <w:p>
            <w:r>
              <w:rPr>
                <w:sz w:val="15"/>
                <w:szCs w:val="15"/>
              </w:rPr>
              <w:t xml:space="preserve">01.07.2012-22.09.2012</w:t>
            </w:r>
          </w:p>
        </w:tc>
        <w:tc>
          <w:tcPr>
            <w:tcW w:w="1000" w:type="dxa"/>
            <w:vAlign w:val="center"/>
          </w:tcPr>
          <w:p>
            <w:r>
              <w:rPr>
                <w:sz w:val="15"/>
                <w:szCs w:val="15"/>
              </w:rPr>
              <w:t xml:space="preserve">SB-401</w:t>
            </w:r>
          </w:p>
        </w:tc>
        <w:tc>
          <w:tcPr>
            <w:tcW w:w="1000" w:type="dxa"/>
            <w:vAlign w:val="center"/>
          </w:tcPr>
          <w:p>
            <w:r>
              <w:rPr>
                <w:sz w:val="15"/>
                <w:szCs w:val="15"/>
              </w:rPr>
              <w:t xml:space="preserve">Tanker Product</w:t>
            </w:r>
          </w:p>
        </w:tc>
        <w:tc>
          <w:tcPr>
            <w:tcW w:w="500" w:type="dxa"/>
            <w:vAlign w:val="center"/>
          </w:tcPr>
          <w:p>
            <w:r>
              <w:rPr>
                <w:sz w:val="15"/>
                <w:szCs w:val="15"/>
              </w:rPr>
              <w:t xml:space="preserve">663</w:t>
            </w:r>
          </w:p>
        </w:tc>
        <w:tc>
          <w:tcPr>
            <w:tcW w:w="500" w:type="dxa"/>
            <w:vAlign w:val="center"/>
          </w:tcPr>
          <w:p>
            <w:r>
              <w:rPr>
                <w:sz w:val="15"/>
                <w:szCs w:val="15"/>
              </w:rPr>
              <w:t xml:space="preserve">440</w:t>
            </w:r>
          </w:p>
        </w:tc>
        <w:tc>
          <w:tcPr>
            <w:tcW w:w="500" w:type="dxa"/>
            <w:vAlign w:val="center"/>
          </w:tcPr>
          <w:p>
            <w:r>
              <w:rPr>
                <w:sz w:val="15"/>
                <w:szCs w:val="15"/>
              </w:rPr>
              <w:t xml:space="preserve">-</w:t>
            </w:r>
          </w:p>
        </w:tc>
        <w:tc>
          <w:tcPr>
            <w:tcW w:w="500" w:type="dxa"/>
            <w:vAlign w:val="center"/>
          </w:tcPr>
          <w:p>
            <w:r>
              <w:rPr>
                <w:sz w:val="15"/>
                <w:szCs w:val="15"/>
              </w:rPr>
              <w:t xml:space="preserve">Russia</w:t>
            </w:r>
          </w:p>
        </w:tc>
        <w:tc>
          <w:tcPr>
            <w:tcW w:w="1000" w:type="dxa"/>
            <w:vAlign w:val="center"/>
          </w:tcPr>
          <w:p>
            <w:r>
              <w:rPr>
                <w:sz w:val="15"/>
                <w:szCs w:val="15"/>
              </w:rPr>
              <w:t xml:space="preserve">VIK</w:t>
            </w:r>
          </w:p>
        </w:tc>
        <w:tc>
          <w:tcPr>
            <w:tcW w:w="700" w:type="dxa"/>
            <w:vAlign w:val="center"/>
          </w:tcPr>
          <w:p>
            <w:r>
              <w:rPr>
                <w:sz w:val="15"/>
                <w:szCs w:val="15"/>
              </w:rPr>
              <w:t xml:space="preserve">&amp;mdash;</w:t>
            </w:r>
          </w:p>
        </w:tc>
      </w:tr>
      <w:tr>
        <w:tc>
          <w:tcPr>
            <w:tcW w:w="1000" w:type="dxa"/>
            <w:vAlign w:val="center"/>
          </w:tcPr>
          <w:p>
            <w:r>
              <w:rPr>
                <w:sz w:val="15"/>
                <w:szCs w:val="15"/>
              </w:rPr>
              <w:t xml:space="preserve">Deck Cadet</w:t>
            </w:r>
          </w:p>
        </w:tc>
        <w:tc>
          <w:tcPr>
            <w:tcW w:w="1000" w:type="dxa"/>
            <w:vAlign w:val="center"/>
          </w:tcPr>
          <w:p>
            <w:r>
              <w:rPr>
                <w:sz w:val="15"/>
                <w:szCs w:val="15"/>
              </w:rPr>
              <w:t xml:space="preserve">02.11.2011-06.03.2012</w:t>
            </w:r>
          </w:p>
        </w:tc>
        <w:tc>
          <w:tcPr>
            <w:tcW w:w="1000" w:type="dxa"/>
            <w:vAlign w:val="center"/>
          </w:tcPr>
          <w:p>
            <w:r>
              <w:rPr>
                <w:sz w:val="15"/>
                <w:szCs w:val="15"/>
              </w:rPr>
              <w:t xml:space="preserve">Ivan Sergiyenko</w:t>
            </w:r>
          </w:p>
        </w:tc>
        <w:tc>
          <w:tcPr>
            <w:tcW w:w="1000" w:type="dxa"/>
            <w:vAlign w:val="center"/>
          </w:tcPr>
          <w:p>
            <w:r>
              <w:rPr>
                <w:sz w:val="15"/>
                <w:szCs w:val="15"/>
              </w:rPr>
              <w:t xml:space="preserve">Dry Cargo</w:t>
            </w:r>
          </w:p>
        </w:tc>
        <w:tc>
          <w:tcPr>
            <w:tcW w:w="500" w:type="dxa"/>
            <w:vAlign w:val="center"/>
          </w:tcPr>
          <w:p>
            <w:r>
              <w:rPr>
                <w:sz w:val="15"/>
                <w:szCs w:val="15"/>
              </w:rPr>
              <w:t xml:space="preserve">2466</w:t>
            </w:r>
          </w:p>
        </w:tc>
        <w:tc>
          <w:tcPr>
            <w:tcW w:w="500" w:type="dxa"/>
            <w:vAlign w:val="center"/>
          </w:tcPr>
          <w:p>
            <w:r>
              <w:rPr>
                <w:sz w:val="15"/>
                <w:szCs w:val="15"/>
              </w:rPr>
              <w:t xml:space="preserve">2*485</w:t>
            </w:r>
          </w:p>
        </w:tc>
        <w:tc>
          <w:tcPr>
            <w:tcW w:w="500" w:type="dxa"/>
            <w:vAlign w:val="center"/>
          </w:tcPr>
          <w:p>
            <w:r>
              <w:rPr>
                <w:sz w:val="15"/>
                <w:szCs w:val="15"/>
              </w:rPr>
              <w:t xml:space="preserve">-</w:t>
            </w:r>
          </w:p>
        </w:tc>
        <w:tc>
          <w:tcPr>
            <w:tcW w:w="500" w:type="dxa"/>
            <w:vAlign w:val="center"/>
          </w:tcPr>
          <w:p>
            <w:r>
              <w:rPr>
                <w:sz w:val="15"/>
                <w:szCs w:val="15"/>
              </w:rPr>
              <w:t xml:space="preserve">Ukr</w:t>
            </w:r>
          </w:p>
        </w:tc>
        <w:tc>
          <w:tcPr>
            <w:tcW w:w="1000" w:type="dxa"/>
            <w:vAlign w:val="center"/>
          </w:tcPr>
          <w:p>
            <w:r>
              <w:rPr>
                <w:sz w:val="15"/>
                <w:szCs w:val="15"/>
              </w:rPr>
              <w:t xml:space="preserve">jssc "UkrRichflot"</w:t>
            </w:r>
          </w:p>
        </w:tc>
        <w:tc>
          <w:tcPr>
            <w:tcW w:w="700" w:type="dxa"/>
            <w:vAlign w:val="center"/>
          </w:tcPr>
          <w:p>
            <w:r>
              <w:rPr>
                <w:sz w:val="15"/>
                <w:szCs w:val="15"/>
              </w:rPr>
              <w:t xml:space="preserve">&amp;mdash;</w:t>
            </w:r>
          </w:p>
        </w:tc>
      </w:tr>
      <w:tr>
        <w:tc>
          <w:tcPr>
            <w:tcW w:w="1000" w:type="dxa"/>
            <w:vAlign w:val="center"/>
          </w:tcPr>
          <w:p>
            <w:r>
              <w:rPr>
                <w:sz w:val="15"/>
                <w:szCs w:val="15"/>
              </w:rPr>
              <w:t xml:space="preserve">Deck Cadet</w:t>
            </w:r>
          </w:p>
        </w:tc>
        <w:tc>
          <w:tcPr>
            <w:tcW w:w="1000" w:type="dxa"/>
            <w:vAlign w:val="center"/>
          </w:tcPr>
          <w:p>
            <w:r>
              <w:rPr>
                <w:sz w:val="15"/>
                <w:szCs w:val="15"/>
              </w:rPr>
              <w:t xml:space="preserve">29.07.2011-29.10.2011</w:t>
            </w:r>
          </w:p>
        </w:tc>
        <w:tc>
          <w:tcPr>
            <w:tcW w:w="1000" w:type="dxa"/>
            <w:vAlign w:val="center"/>
          </w:tcPr>
          <w:p>
            <w:r>
              <w:rPr>
                <w:sz w:val="15"/>
                <w:szCs w:val="15"/>
              </w:rPr>
              <w:t xml:space="preserve">Volna -3</w:t>
            </w:r>
          </w:p>
        </w:tc>
        <w:tc>
          <w:tcPr>
            <w:tcW w:w="1000" w:type="dxa"/>
            <w:vAlign w:val="center"/>
          </w:tcPr>
          <w:p>
            <w:r>
              <w:rPr>
                <w:sz w:val="15"/>
                <w:szCs w:val="15"/>
              </w:rPr>
              <w:t xml:space="preserve">Tug Boat</w:t>
            </w:r>
          </w:p>
        </w:tc>
        <w:tc>
          <w:tcPr>
            <w:tcW w:w="500" w:type="dxa"/>
            <w:vAlign w:val="center"/>
          </w:tcPr>
          <w:p>
            <w:r>
              <w:rPr>
                <w:sz w:val="15"/>
                <w:szCs w:val="15"/>
              </w:rPr>
              <w:t xml:space="preserve">29,2</w:t>
            </w:r>
          </w:p>
        </w:tc>
        <w:tc>
          <w:tcPr>
            <w:tcW w:w="500" w:type="dxa"/>
            <w:vAlign w:val="center"/>
          </w:tcPr>
          <w:p>
            <w:r>
              <w:rPr>
                <w:sz w:val="15"/>
                <w:szCs w:val="15"/>
              </w:rPr>
              <w:t xml:space="preserve">220</w:t>
            </w:r>
          </w:p>
        </w:tc>
        <w:tc>
          <w:tcPr>
            <w:tcW w:w="500" w:type="dxa"/>
            <w:vAlign w:val="center"/>
          </w:tcPr>
          <w:p>
            <w:r>
              <w:rPr>
                <w:sz w:val="15"/>
                <w:szCs w:val="15"/>
              </w:rPr>
              <w:t xml:space="preserve">-</w:t>
            </w:r>
          </w:p>
        </w:tc>
        <w:tc>
          <w:tcPr>
            <w:tcW w:w="500" w:type="dxa"/>
            <w:vAlign w:val="center"/>
          </w:tcPr>
          <w:p>
            <w:r>
              <w:rPr>
                <w:sz w:val="15"/>
                <w:szCs w:val="15"/>
              </w:rPr>
              <w:t xml:space="preserve">Ukr</w:t>
            </w:r>
          </w:p>
        </w:tc>
        <w:tc>
          <w:tcPr>
            <w:tcW w:w="1000" w:type="dxa"/>
            <w:vAlign w:val="center"/>
          </w:tcPr>
          <w:p>
            <w:r>
              <w:rPr>
                <w:sz w:val="15"/>
                <w:szCs w:val="15"/>
              </w:rPr>
              <w:t xml:space="preserve">World Line</w:t>
            </w:r>
          </w:p>
        </w:tc>
        <w:tc>
          <w:tcPr>
            <w:tcW w:w="700" w:type="dxa"/>
            <w:vAlign w:val="center"/>
          </w:tcPr>
          <w:p>
            <w:r>
              <w:rPr>
                <w:sz w:val="15"/>
                <w:szCs w:val="15"/>
              </w:rPr>
              <w:t xml:space="preserve">&amp;mdash;</w:t>
            </w:r>
          </w:p>
        </w:tc>
      </w:tr>
      <w:tr>
        <w:tc>
          <w:tcPr>
            <w:tcW w:w="1000" w:type="dxa"/>
            <w:vAlign w:val="center"/>
          </w:tcPr>
          <w:p>
            <w:r>
              <w:rPr>
                <w:sz w:val="15"/>
                <w:szCs w:val="15"/>
              </w:rPr>
              <w:t xml:space="preserve">Deck Cadet</w:t>
            </w:r>
          </w:p>
        </w:tc>
        <w:tc>
          <w:tcPr>
            <w:tcW w:w="1000" w:type="dxa"/>
            <w:vAlign w:val="center"/>
          </w:tcPr>
          <w:p>
            <w:r>
              <w:rPr>
                <w:sz w:val="15"/>
                <w:szCs w:val="15"/>
              </w:rPr>
              <w:t xml:space="preserve">07.06.2010-12.06.2010</w:t>
            </w:r>
          </w:p>
        </w:tc>
        <w:tc>
          <w:tcPr>
            <w:tcW w:w="1000" w:type="dxa"/>
            <w:vAlign w:val="center"/>
          </w:tcPr>
          <w:p>
            <w:r>
              <w:rPr>
                <w:sz w:val="15"/>
                <w:szCs w:val="15"/>
              </w:rPr>
              <w:t xml:space="preserve">Geroy Starikov</w:t>
            </w:r>
          </w:p>
        </w:tc>
        <w:tc>
          <w:tcPr>
            <w:tcW w:w="1000" w:type="dxa"/>
            <w:vAlign w:val="center"/>
          </w:tcPr>
          <w:p>
            <w:r>
              <w:rPr>
                <w:sz w:val="15"/>
                <w:szCs w:val="15"/>
              </w:rPr>
              <w:t xml:space="preserve">Passenger Ship</w:t>
            </w:r>
          </w:p>
        </w:tc>
        <w:tc>
          <w:tcPr>
            <w:tcW w:w="500" w:type="dxa"/>
            <w:vAlign w:val="center"/>
          </w:tcPr>
          <w:p>
            <w:r>
              <w:rPr>
                <w:sz w:val="15"/>
                <w:szCs w:val="15"/>
              </w:rPr>
              <w:t xml:space="preserve">170</w:t>
            </w:r>
          </w:p>
        </w:tc>
        <w:tc>
          <w:tcPr>
            <w:tcW w:w="500" w:type="dxa"/>
            <w:vAlign w:val="center"/>
          </w:tcPr>
          <w:p>
            <w:r>
              <w:rPr>
                <w:sz w:val="15"/>
                <w:szCs w:val="15"/>
              </w:rPr>
              <w:t xml:space="preserve">440</w:t>
            </w:r>
          </w:p>
        </w:tc>
        <w:tc>
          <w:tcPr>
            <w:tcW w:w="500" w:type="dxa"/>
            <w:vAlign w:val="center"/>
          </w:tcPr>
          <w:p>
            <w:r>
              <w:rPr>
                <w:sz w:val="15"/>
                <w:szCs w:val="15"/>
              </w:rPr>
              <w:t xml:space="preserve">-</w:t>
            </w:r>
          </w:p>
        </w:tc>
        <w:tc>
          <w:tcPr>
            <w:tcW w:w="500" w:type="dxa"/>
            <w:vAlign w:val="center"/>
          </w:tcPr>
          <w:p>
            <w:r>
              <w:rPr>
                <w:sz w:val="15"/>
                <w:szCs w:val="15"/>
              </w:rPr>
              <w:t xml:space="preserve">Ukr</w:t>
            </w:r>
          </w:p>
        </w:tc>
        <w:tc>
          <w:tcPr>
            <w:tcW w:w="1000" w:type="dxa"/>
            <w:vAlign w:val="center"/>
          </w:tcPr>
          <w:p>
            <w:r>
              <w:rPr>
                <w:sz w:val="15"/>
                <w:szCs w:val="15"/>
              </w:rPr>
              <w:t xml:space="preserve">River port of Kherson</w:t>
            </w:r>
          </w:p>
        </w:tc>
        <w:tc>
          <w:tcPr>
            <w:tcW w:w="700" w:type="dxa"/>
            <w:vAlign w:val="center"/>
          </w:tcPr>
          <w:p>
            <w:r>
              <w:rPr>
                <w:sz w:val="15"/>
                <w:szCs w:val="15"/>
              </w:rPr>
              <w:t xml:space="preserve">&amp;mdash;</w:t>
            </w:r>
          </w:p>
        </w:tc>
      </w:tr>
    </w:tbl>
    <w:p/>
    <w:p>
      <w:pPr>
        <w:pStyle w:val="Heading2"/>
      </w:pPr>
      <w:r>
        <w:fldChar w:fldCharType="end"/>
      </w:r>
      <w:bookmarkStart w:id="4" w:name="_Toc252634159"/>
      <w:r>
        <w:t>Documents and further information:</w:t>
      </w:r>
      <w:bookmarkEnd w:id="4"/>
    </w:p>
    <w:p>
      <w:r>
        <w:t xml:space="preserve">Yellow fever
Radar Navigation-operational level
Proficiency in survival craft and rescue boats
GMDSS general operator s certificate
medical first aid on board ship
carriage of dangerous and hazarous substances
operational use of electronic chart display and information system
Basic safety training and instructions
advanced fire fighting
Seaman s indification card
Ukrainian international passport
Have documents of specialists degree.</w:t>
      </w:r>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2017-12-04T11:32:12+03:00</dcterms:created>
  <dcterms:modified xsi:type="dcterms:W3CDTF">2017-12-04T11:32:12+03:00</dcterms:modified>
  <dc:title/>
  <dc:description/>
  <dc:subject/>
  <cp:keywords/>
  <cp:category/>
</cp:coreProperties>
</file>